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DB" w:rsidRDefault="000C05DB" w:rsidP="000C05DB">
      <w:pPr>
        <w:jc w:val="center"/>
        <w:rPr>
          <w:rFonts w:ascii="Cambria" w:hAnsi="Cambria" w:cs="Arial"/>
          <w:b/>
          <w:sz w:val="28"/>
          <w:szCs w:val="28"/>
          <w:lang w:val="hu-HU"/>
        </w:rPr>
      </w:pPr>
    </w:p>
    <w:p w:rsidR="000C05DB" w:rsidRPr="008A5FBE" w:rsidRDefault="000C05DB" w:rsidP="000C05DB">
      <w:pPr>
        <w:jc w:val="center"/>
        <w:rPr>
          <w:rFonts w:ascii="Cambria" w:hAnsi="Cambria" w:cs="Arial"/>
          <w:b/>
          <w:sz w:val="28"/>
          <w:szCs w:val="28"/>
          <w:lang w:val="hu-HU"/>
        </w:rPr>
      </w:pPr>
      <w:r w:rsidRPr="008A5FBE">
        <w:rPr>
          <w:rFonts w:ascii="Cambria" w:hAnsi="Cambria" w:cs="Arial"/>
          <w:b/>
          <w:sz w:val="28"/>
          <w:szCs w:val="28"/>
          <w:lang w:val="hu-HU"/>
        </w:rPr>
        <w:t>Gyerekbarát költségvetés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  <w:r w:rsidRPr="008A5FBE">
        <w:rPr>
          <w:rFonts w:ascii="Cambria" w:hAnsi="Cambria" w:cs="Arial"/>
          <w:sz w:val="24"/>
          <w:szCs w:val="24"/>
          <w:lang w:val="hu-HU"/>
        </w:rPr>
        <w:t>A gyerekbarát helyi fejlesztéspolitika a gyerekbarát költségvetés előfeltétele: ha nincsenek célzottan a gyermekekre irányuló helyi átfogó társadalompolitikai céltételezések, nincs is szükség gyerekbarát költségvetésre. A gyerekbarát költségvetés főbb jellemzői: átlátható, felelős és biztosítja a gyermekek részvételét az őket érintő kérdésekben a tervezés</w:t>
      </w:r>
      <w:r>
        <w:rPr>
          <w:rFonts w:ascii="Cambria" w:hAnsi="Cambria" w:cs="Arial"/>
          <w:sz w:val="24"/>
          <w:szCs w:val="24"/>
          <w:lang w:val="hu-HU"/>
        </w:rPr>
        <w:t>,</w:t>
      </w:r>
      <w:r w:rsidRPr="008A5FBE">
        <w:rPr>
          <w:rFonts w:ascii="Cambria" w:hAnsi="Cambria" w:cs="Arial"/>
          <w:sz w:val="24"/>
          <w:szCs w:val="24"/>
          <w:lang w:val="hu-HU"/>
        </w:rPr>
        <w:t xml:space="preserve"> a megvalósítás </w:t>
      </w:r>
      <w:r>
        <w:rPr>
          <w:rFonts w:ascii="Cambria" w:hAnsi="Cambria" w:cs="Arial"/>
          <w:sz w:val="24"/>
          <w:szCs w:val="24"/>
          <w:lang w:val="hu-HU"/>
        </w:rPr>
        <w:t xml:space="preserve">és a programok értékelésének </w:t>
      </w:r>
      <w:r w:rsidRPr="008A5FBE">
        <w:rPr>
          <w:rFonts w:ascii="Cambria" w:hAnsi="Cambria" w:cs="Arial"/>
          <w:sz w:val="24"/>
          <w:szCs w:val="24"/>
          <w:lang w:val="hu-HU"/>
        </w:rPr>
        <w:t>időszakában.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  <w:r w:rsidRPr="008A5FBE">
        <w:rPr>
          <w:rFonts w:ascii="Cambria" w:hAnsi="Cambria" w:cs="Arial"/>
          <w:sz w:val="24"/>
          <w:szCs w:val="24"/>
          <w:lang w:val="hu-HU"/>
        </w:rPr>
        <w:t>Nyilvánvalóan a különböző méretű, társadalmi összetételű és gazdasági erejű települések költségvetésének nagysága, belső összetétele eltérő. Ezért nem célja a gyerekbarát költségvetésnek azt figyelembe venni, mennyit is költenek az egyes önkormányzatok a gyerekekre. Az azonban lényeges, hogy a kötelezően ellátandó feladatokon túl „költenek-e” a gyerekekre és, ha igen, mire.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  <w:r w:rsidRPr="008A5FBE">
        <w:rPr>
          <w:rFonts w:ascii="Cambria" w:hAnsi="Cambria" w:cs="Arial"/>
          <w:sz w:val="24"/>
          <w:szCs w:val="24"/>
          <w:lang w:val="hu-HU"/>
        </w:rPr>
        <w:t xml:space="preserve">A gyermekek részvétele követelménynek az önkormányzat úgy tehet eleget, ha bevonja a helyi valamely diák- vagy ifjúsági önkormányzat képviselőjét, esetleg e kérdésekkel is foglalkozó helyi ifjúsági nagykövetet választanak. 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  <w:r w:rsidRPr="008A5FBE">
        <w:rPr>
          <w:rFonts w:ascii="Cambria" w:hAnsi="Cambria" w:cs="Arial"/>
          <w:sz w:val="24"/>
          <w:szCs w:val="24"/>
          <w:lang w:val="hu-HU"/>
        </w:rPr>
        <w:t xml:space="preserve">Hogy a gyerekek felelősen és érdemben tudják képviselni kortársaik érdekeit szükséges, hogy az életkoruknak megfelelő formában tájékoztatást kapjanak az önkormányzat terveiről, működéséről, a pénzügyi tervezés folyamatáról, körülményeiről és kiemelten a gyermekeket érintő tételekről, dilemmákról, elképzelésekről. A gyerekek felkészítésében – szükség esetén - az UNICEF Magyarország is közreműködik. A gyermekek képviselője mérlegeli a helyzetet, megtárgyalja a lehetőségeket kortársaival és a tőlük kapott </w:t>
      </w:r>
      <w:proofErr w:type="gramStart"/>
      <w:r w:rsidRPr="008A5FBE">
        <w:rPr>
          <w:rFonts w:ascii="Cambria" w:hAnsi="Cambria" w:cs="Arial"/>
          <w:sz w:val="24"/>
          <w:szCs w:val="24"/>
          <w:lang w:val="hu-HU"/>
        </w:rPr>
        <w:t>információk</w:t>
      </w:r>
      <w:proofErr w:type="gramEnd"/>
      <w:r w:rsidRPr="008A5FBE">
        <w:rPr>
          <w:rFonts w:ascii="Cambria" w:hAnsi="Cambria" w:cs="Arial"/>
          <w:sz w:val="24"/>
          <w:szCs w:val="24"/>
          <w:lang w:val="hu-HU"/>
        </w:rPr>
        <w:t xml:space="preserve"> birtokában fogalmazza meg véleményét, javaslatait az önkormányzat képviselőinek. Minden a gyermekeket érintő új beruházás, szolgáltatás indításakor szükséges </w:t>
      </w:r>
      <w:proofErr w:type="gramStart"/>
      <w:r w:rsidRPr="008A5FBE">
        <w:rPr>
          <w:rFonts w:ascii="Cambria" w:hAnsi="Cambria" w:cs="Arial"/>
          <w:sz w:val="24"/>
          <w:szCs w:val="24"/>
          <w:lang w:val="hu-HU"/>
        </w:rPr>
        <w:t>konzultálni</w:t>
      </w:r>
      <w:proofErr w:type="gramEnd"/>
      <w:r w:rsidRPr="008A5FBE">
        <w:rPr>
          <w:rFonts w:ascii="Cambria" w:hAnsi="Cambria" w:cs="Arial"/>
          <w:sz w:val="24"/>
          <w:szCs w:val="24"/>
          <w:lang w:val="hu-HU"/>
        </w:rPr>
        <w:t xml:space="preserve"> a gyerekek képviselőjével.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  <w:r w:rsidRPr="008A5FBE">
        <w:rPr>
          <w:rFonts w:ascii="Cambria" w:hAnsi="Cambria" w:cs="Arial"/>
          <w:sz w:val="24"/>
          <w:szCs w:val="24"/>
          <w:lang w:val="hu-HU"/>
        </w:rPr>
        <w:t xml:space="preserve">A gyermekbarát költségvetés működtetéséhez az is szükséges, hogy a gyerekek a helyi fejlesztéspolitika és a költségvetés gyerekbarát mivoltát </w:t>
      </w:r>
      <w:proofErr w:type="spellStart"/>
      <w:r w:rsidRPr="008A5FBE">
        <w:rPr>
          <w:rFonts w:ascii="Cambria" w:hAnsi="Cambria" w:cs="Arial"/>
          <w:sz w:val="24"/>
          <w:szCs w:val="24"/>
          <w:lang w:val="hu-HU"/>
        </w:rPr>
        <w:t>monitorozni</w:t>
      </w:r>
      <w:proofErr w:type="spellEnd"/>
      <w:r w:rsidRPr="008A5FBE">
        <w:rPr>
          <w:rFonts w:ascii="Cambria" w:hAnsi="Cambria" w:cs="Arial"/>
          <w:sz w:val="24"/>
          <w:szCs w:val="24"/>
          <w:lang w:val="hu-HU"/>
        </w:rPr>
        <w:t xml:space="preserve"> tudják. Ennek legmegfelelőbb formája az lehet, ha az önkormányzat negyedévente tájékoztatja a gyermekek képviselőjét a gyermekeket érintő elképzelések megvalósulásáról és a gyerekek képviselője is alkalmat kap a visszacsatolásra, azaz a gyermekek véleményének közvetítésére. </w:t>
      </w:r>
    </w:p>
    <w:p w:rsidR="000C05DB" w:rsidRPr="008A5FBE" w:rsidRDefault="000C05DB" w:rsidP="000C05DB">
      <w:pPr>
        <w:jc w:val="both"/>
        <w:rPr>
          <w:rFonts w:ascii="Cambria" w:hAnsi="Cambria" w:cs="Arial"/>
          <w:sz w:val="24"/>
          <w:szCs w:val="24"/>
          <w:lang w:val="hu-HU"/>
        </w:rPr>
      </w:pPr>
    </w:p>
    <w:p w:rsidR="00AA0997" w:rsidRDefault="00AA0997" w:rsidP="007E41D9">
      <w:pPr>
        <w:spacing w:after="0" w:line="36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AA0997" w:rsidRPr="00AA0997" w:rsidRDefault="00AA0997" w:rsidP="007E41D9">
      <w:pPr>
        <w:shd w:val="clear" w:color="auto" w:fill="FFFFFF"/>
        <w:spacing w:after="240" w:line="360" w:lineRule="auto"/>
        <w:ind w:left="4956" w:firstLine="708"/>
        <w:jc w:val="center"/>
        <w:rPr>
          <w:rFonts w:ascii="Cambria" w:hAnsi="Cambria"/>
          <w:sz w:val="24"/>
          <w:szCs w:val="24"/>
        </w:rPr>
      </w:pPr>
    </w:p>
    <w:sectPr w:rsidR="00AA0997" w:rsidRPr="00AA09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97" w:rsidRDefault="00AA0997" w:rsidP="00AA0997">
      <w:pPr>
        <w:spacing w:after="0" w:line="240" w:lineRule="auto"/>
      </w:pPr>
      <w:r>
        <w:separator/>
      </w:r>
    </w:p>
  </w:endnote>
  <w:endnote w:type="continuationSeparator" w:id="0">
    <w:p w:rsidR="00AA0997" w:rsidRDefault="00AA0997" w:rsidP="00AA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97" w:rsidRDefault="00AA0997" w:rsidP="00AA0997">
      <w:pPr>
        <w:spacing w:after="0" w:line="240" w:lineRule="auto"/>
      </w:pPr>
      <w:r>
        <w:separator/>
      </w:r>
    </w:p>
  </w:footnote>
  <w:footnote w:type="continuationSeparator" w:id="0">
    <w:p w:rsidR="00AA0997" w:rsidRDefault="00AA0997" w:rsidP="00AA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97" w:rsidRPr="00AA0997" w:rsidRDefault="00AA0997" w:rsidP="00AA0997">
    <w:pPr>
      <w:pStyle w:val="lfej"/>
    </w:pPr>
    <w:r>
      <w:rPr>
        <w:noProof/>
        <w:lang w:eastAsia="hu-HU"/>
      </w:rPr>
      <w:drawing>
        <wp:inline distT="0" distB="0" distL="0" distR="0" wp14:anchorId="51A4684D" wp14:editId="2B423721">
          <wp:extent cx="1571625" cy="765292"/>
          <wp:effectExtent l="0" t="0" r="0" b="0"/>
          <wp:docPr id="1" name="Kép 1" descr="C:\Users\User7\AppData\Local\Microsoft\Windows\INetCache\Content.Word\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AppData\Local\Microsoft\Windows\INetCache\Content.Word\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20" cy="77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4FD"/>
    <w:multiLevelType w:val="hybridMultilevel"/>
    <w:tmpl w:val="E12CF712"/>
    <w:lvl w:ilvl="0" w:tplc="EC28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97"/>
    <w:rsid w:val="000C05DB"/>
    <w:rsid w:val="002311F9"/>
    <w:rsid w:val="00236BD4"/>
    <w:rsid w:val="00267F2E"/>
    <w:rsid w:val="003D13EC"/>
    <w:rsid w:val="004C5F4A"/>
    <w:rsid w:val="007E41D9"/>
    <w:rsid w:val="00912111"/>
    <w:rsid w:val="00936F17"/>
    <w:rsid w:val="00AA0997"/>
    <w:rsid w:val="00D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C000"/>
  <w15:chartTrackingRefBased/>
  <w15:docId w15:val="{CA1F566C-DBB0-4806-98C2-41836966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0C05DB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0997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AA0997"/>
  </w:style>
  <w:style w:type="paragraph" w:styleId="llb">
    <w:name w:val="footer"/>
    <w:basedOn w:val="Norml"/>
    <w:link w:val="llbChar"/>
    <w:uiPriority w:val="99"/>
    <w:unhideWhenUsed/>
    <w:rsid w:val="00AA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0997"/>
  </w:style>
  <w:style w:type="paragraph" w:styleId="Listaszerbekezds">
    <w:name w:val="List Paragraph"/>
    <w:basedOn w:val="Norml"/>
    <w:uiPriority w:val="34"/>
    <w:qFormat/>
    <w:rsid w:val="00AA0997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CD35-8C77-4507-8DA6-DF40E0B6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Anna Sára</dc:creator>
  <cp:keywords/>
  <dc:description/>
  <cp:lastModifiedBy>Katalin Tausz</cp:lastModifiedBy>
  <cp:revision>3</cp:revision>
  <dcterms:created xsi:type="dcterms:W3CDTF">2017-06-20T08:15:00Z</dcterms:created>
  <dcterms:modified xsi:type="dcterms:W3CDTF">2017-06-20T08:15:00Z</dcterms:modified>
</cp:coreProperties>
</file>